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SZ_GERICHTE ZK2 2024 47 vom 28. Oktober 2024</w:t>
      </w:r>
    </w:p>
    <w:p>
      <w:r>
        <w:t>SZ Gerichte, 2024-10-28, DE</w:t>
      </w:r>
    </w:p>
    <w:p>
      <w:r>
        <w:rPr>
          <w:b/>
        </w:rPr>
        <w:t xml:space="preserve">Quelle: </w:t>
      </w:r>
      <w:r>
        <w:t>https://mcp.opencaselaw.ch/entscheid/sz_gerichte_ZK2 2024 47</w:t>
      </w:r>
    </w:p>
    <w:p>
      <w:r>
        <w:t>FR: SZ_GERICHTE ZK2 2024 47 du 28 octobre 2024</w:t>
      </w:r>
    </w:p>
    <w:p>
      <w:r>
        <w:t>IT: SZ_GERICHTE ZK2 2024 47 del 28 ottobre 2024</w:t>
      </w:r>
    </w:p>
    <w:p>
      <w:pPr>
        <w:pStyle w:val="Heading2"/>
      </w:pPr>
      <w:r>
        <w:t>Regeste</w:t>
      </w:r>
    </w:p>
    <w:p>
      <w:r>
        <w:t>Räumungsbefehl | Rechtsschutz in klaren Fällen</w:t>
      </w:r>
    </w:p>
    <w:p>
      <w:pPr>
        <w:pStyle w:val="Heading2"/>
      </w:pPr>
      <w:r>
        <w:t>Erwägungen</w:t>
      </w:r>
    </w:p>
    <w:p>
      <w:r>
        <w:rPr>
          <w:b/>
        </w:rPr>
        <w:t>E. 1</w:t>
      </w:r>
    </w:p>
    <w:p>
      <w:r>
        <w:t>A.________,</w:t>
      </w:r>
    </w:p>
    <w:p>
      <w:r>
        <w:rPr>
          <w:b/>
        </w:rPr>
        <w:t>E. 2</w:t>
      </w:r>
    </w:p>
    <w:p>
      <w:r>
        <w:t>B.________, Gesuchsgegner und Beschwerdeführer, vertreten durch Rechtsanwalt C.________, gegen Gemeinde D.________, Gesuchstellerin und Beschwerdegegnerin, \n \n \n \n \n \n \n \n \n betreffend \n Räumungsbefehl \n \n \n \n (Beschwerde gegen die Verfügung der Einzelrichterin am Bezirksgericht Schwyz vom 16. Juli 2024, ZES 2024 228);- \n \n \n \n hat der Kantonsgerichtspräsident, \n \n nachdem sich ergeben und in Erwägung: \n 1. Am 16. Juli 2024 verfügte die Einzelrichterin am Bezirksgericht Schwyz: \n 1. Den Gesuchsgegnern wird unter Androhung von Busse gemäss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